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327" w:rsidRDefault="001C2327">
      <w:r>
        <w:rPr>
          <w:noProof/>
          <w:lang w:eastAsia="ru-RU"/>
        </w:rPr>
        <w:drawing>
          <wp:inline distT="0" distB="0" distL="0" distR="0">
            <wp:extent cx="5943600" cy="6610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27" w:rsidRDefault="001C2327">
      <w:r>
        <w:br w:type="page"/>
      </w:r>
    </w:p>
    <w:p w:rsidR="001C2327" w:rsidRDefault="001C2327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27" w:rsidRDefault="001C2327">
      <w:r>
        <w:br w:type="page"/>
      </w:r>
    </w:p>
    <w:p w:rsidR="001C2327" w:rsidRDefault="001C2327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27" w:rsidRDefault="001C2327">
      <w:r>
        <w:br w:type="page"/>
      </w:r>
    </w:p>
    <w:p w:rsidR="001C2327" w:rsidRDefault="001C2327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27" w:rsidRDefault="001C2327">
      <w:r>
        <w:br w:type="page"/>
      </w:r>
    </w:p>
    <w:p w:rsidR="001C2327" w:rsidRDefault="001C2327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27" w:rsidRDefault="001C2327">
      <w:r>
        <w:br w:type="page"/>
      </w:r>
    </w:p>
    <w:p w:rsidR="001C2327" w:rsidRDefault="001C2327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27" w:rsidRDefault="001C2327">
      <w:r>
        <w:br w:type="page"/>
      </w:r>
    </w:p>
    <w:p w:rsidR="001B00CC" w:rsidRDefault="001C2327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CC" w:rsidRDefault="001B00CC">
      <w:r>
        <w:br w:type="page"/>
      </w:r>
    </w:p>
    <w:p w:rsidR="001B00CC" w:rsidRDefault="001B00CC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CC" w:rsidRDefault="001B00CC">
      <w:r>
        <w:br w:type="page"/>
      </w:r>
    </w:p>
    <w:p w:rsidR="001B00CC" w:rsidRDefault="001B00CC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CC" w:rsidRDefault="001B00CC">
      <w:r>
        <w:br w:type="page"/>
      </w:r>
    </w:p>
    <w:p w:rsidR="008F714D" w:rsidRDefault="001B00CC">
      <w:r>
        <w:rPr>
          <w:noProof/>
          <w:lang w:eastAsia="ru-RU"/>
        </w:rPr>
        <w:lastRenderedPageBreak/>
        <w:drawing>
          <wp:inline distT="0" distB="0" distL="0" distR="0">
            <wp:extent cx="5943600" cy="7429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14D" w:rsidSect="008F714D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6A9" w:rsidRDefault="00D476A9" w:rsidP="00945459">
      <w:pPr>
        <w:spacing w:after="0" w:line="240" w:lineRule="auto"/>
      </w:pPr>
      <w:r>
        <w:separator/>
      </w:r>
    </w:p>
  </w:endnote>
  <w:endnote w:type="continuationSeparator" w:id="0">
    <w:p w:rsidR="00D476A9" w:rsidRDefault="00D476A9" w:rsidP="00945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6A9" w:rsidRDefault="00D476A9" w:rsidP="00945459">
      <w:pPr>
        <w:spacing w:after="0" w:line="240" w:lineRule="auto"/>
      </w:pPr>
      <w:r>
        <w:separator/>
      </w:r>
    </w:p>
  </w:footnote>
  <w:footnote w:type="continuationSeparator" w:id="0">
    <w:p w:rsidR="00D476A9" w:rsidRDefault="00D476A9" w:rsidP="00945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459" w:rsidRPr="00945459" w:rsidRDefault="00945459" w:rsidP="00945459">
    <w:pPr>
      <w:pStyle w:val="a5"/>
      <w:jc w:val="center"/>
      <w:rPr>
        <w:rFonts w:ascii="Times New Roman" w:hAnsi="Times New Roman"/>
        <w:b/>
        <w:sz w:val="24"/>
      </w:rPr>
    </w:pPr>
    <w:r w:rsidRPr="00641A23">
      <w:rPr>
        <w:rFonts w:ascii="Times New Roman" w:eastAsia="Calibri" w:hAnsi="Times New Roman" w:cs="Times New Roman"/>
        <w:b/>
        <w:sz w:val="24"/>
      </w:rPr>
      <w:t>Перечень основных правовых актов и документов, устанавливающих требования к пре</w:t>
    </w:r>
    <w:r>
      <w:rPr>
        <w:rFonts w:ascii="Times New Roman" w:hAnsi="Times New Roman"/>
        <w:b/>
        <w:sz w:val="24"/>
      </w:rPr>
      <w:t>дприятиям общественного питания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2327"/>
    <w:rsid w:val="001B00CC"/>
    <w:rsid w:val="001C2327"/>
    <w:rsid w:val="008F714D"/>
    <w:rsid w:val="00945459"/>
    <w:rsid w:val="00D4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5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5459"/>
  </w:style>
  <w:style w:type="paragraph" w:styleId="a7">
    <w:name w:val="footer"/>
    <w:basedOn w:val="a"/>
    <w:link w:val="a8"/>
    <w:uiPriority w:val="99"/>
    <w:semiHidden/>
    <w:unhideWhenUsed/>
    <w:rsid w:val="00945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54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dcterms:created xsi:type="dcterms:W3CDTF">2017-05-30T12:48:00Z</dcterms:created>
  <dcterms:modified xsi:type="dcterms:W3CDTF">2017-05-30T12:55:00Z</dcterms:modified>
</cp:coreProperties>
</file>